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8146" w14:textId="77777777" w:rsidR="003A7A33" w:rsidRDefault="003A7A33" w:rsidP="003A7A33">
      <w:pPr>
        <w:pStyle w:val="Ttulo6"/>
        <w:rPr>
          <w:rFonts w:ascii="Arial Narrow" w:hAnsi="Arial Narrow"/>
          <w:b/>
          <w:color w:val="000080"/>
          <w:sz w:val="24"/>
        </w:rPr>
      </w:pPr>
      <w:smartTag w:uri="urn:schemas-microsoft-com:office:smarttags" w:element="PersonName">
        <w:smartTagPr>
          <w:attr w:name="ProductID" w:val="Alfonso La Rosa"/>
        </w:smartTagPr>
        <w:r>
          <w:rPr>
            <w:rFonts w:ascii="Arial Narrow" w:hAnsi="Arial Narrow"/>
            <w:b/>
            <w:color w:val="000080"/>
            <w:sz w:val="24"/>
          </w:rPr>
          <w:t>Alfonso La Rosa</w:t>
        </w:r>
      </w:smartTag>
      <w:r>
        <w:rPr>
          <w:rFonts w:ascii="Arial Narrow" w:hAnsi="Arial Narrow"/>
          <w:b/>
          <w:color w:val="000080"/>
          <w:sz w:val="24"/>
        </w:rPr>
        <w:t xml:space="preserve"> </w:t>
      </w:r>
      <w:proofErr w:type="spellStart"/>
      <w:r>
        <w:rPr>
          <w:rFonts w:ascii="Arial Narrow" w:hAnsi="Arial Narrow"/>
          <w:b/>
          <w:color w:val="000080"/>
          <w:sz w:val="24"/>
        </w:rPr>
        <w:t>Recoba</w:t>
      </w:r>
      <w:proofErr w:type="spellEnd"/>
    </w:p>
    <w:p w14:paraId="3CC35E93" w14:textId="77777777" w:rsidR="003A7A33" w:rsidRPr="00821FB0" w:rsidRDefault="003A7A33" w:rsidP="003A7A33">
      <w:pPr>
        <w:pStyle w:val="Encabezado"/>
        <w:tabs>
          <w:tab w:val="clear" w:pos="4419"/>
          <w:tab w:val="clear" w:pos="8838"/>
        </w:tabs>
        <w:rPr>
          <w:rFonts w:ascii="Arial Narrow" w:hAnsi="Arial Narrow"/>
          <w:i/>
          <w:sz w:val="24"/>
          <w:szCs w:val="24"/>
        </w:rPr>
      </w:pPr>
    </w:p>
    <w:p w14:paraId="2E100E70" w14:textId="77777777" w:rsidR="003A7A33" w:rsidRPr="00FF6E5E" w:rsidRDefault="003A7A33" w:rsidP="003A7A33">
      <w:pPr>
        <w:jc w:val="both"/>
        <w:rPr>
          <w:rFonts w:ascii="Arial Narrow" w:hAnsi="Arial Narrow"/>
          <w:i/>
          <w:snapToGrid w:val="0"/>
          <w:color w:val="000000"/>
          <w:sz w:val="24"/>
          <w:szCs w:val="24"/>
          <w:lang w:val="es-ES_tradnl"/>
        </w:rPr>
      </w:pPr>
      <w:r w:rsidRPr="00FF6E5E">
        <w:rPr>
          <w:rFonts w:ascii="Arial Narrow" w:hAnsi="Arial Narrow"/>
          <w:i/>
          <w:snapToGrid w:val="0"/>
          <w:color w:val="000000"/>
          <w:sz w:val="24"/>
          <w:szCs w:val="24"/>
          <w:lang w:val="es-ES_tradnl"/>
        </w:rPr>
        <w:t xml:space="preserve">El señor La Rosa en sus 28 años de experiencia como auditor ha atendido a numerosas empresas financieras y de seguros, mineras, industriales, y comerciales.  Supervisa todas las fases de una auditoría, particularmente la evaluación de controles internos, la revisión analítica, la identificación y evaluación de las principales aplicaciones contables, los planes de muestreos y su puesta en práctica, y la preparación de los estados financieros e informes.  Entre los clientes que ha atendido figuran Coca-Cola </w:t>
      </w:r>
      <w:proofErr w:type="spellStart"/>
      <w:r w:rsidRPr="00FF6E5E">
        <w:rPr>
          <w:rFonts w:ascii="Arial Narrow" w:hAnsi="Arial Narrow"/>
          <w:i/>
          <w:snapToGrid w:val="0"/>
          <w:color w:val="000000"/>
          <w:sz w:val="24"/>
          <w:szCs w:val="24"/>
          <w:lang w:val="es-ES_tradnl"/>
        </w:rPr>
        <w:t>Interamerican</w:t>
      </w:r>
      <w:proofErr w:type="spellEnd"/>
      <w:r w:rsidRPr="00FF6E5E">
        <w:rPr>
          <w:rFonts w:ascii="Arial Narrow" w:hAnsi="Arial Narrow"/>
          <w:i/>
          <w:snapToGrid w:val="0"/>
          <w:color w:val="000000"/>
          <w:sz w:val="24"/>
          <w:szCs w:val="24"/>
          <w:lang w:val="es-ES_tradnl"/>
        </w:rPr>
        <w:t xml:space="preserve"> Co., Black &amp; Decker, </w:t>
      </w:r>
      <w:proofErr w:type="spellStart"/>
      <w:r w:rsidRPr="00FF6E5E">
        <w:rPr>
          <w:rFonts w:ascii="Arial Narrow" w:hAnsi="Arial Narrow"/>
          <w:i/>
          <w:snapToGrid w:val="0"/>
          <w:color w:val="000000"/>
          <w:sz w:val="24"/>
          <w:szCs w:val="24"/>
          <w:lang w:val="es-ES_tradnl"/>
        </w:rPr>
        <w:t>Electrosur</w:t>
      </w:r>
      <w:proofErr w:type="spellEnd"/>
      <w:r w:rsidRPr="00FF6E5E">
        <w:rPr>
          <w:rFonts w:ascii="Arial Narrow" w:hAnsi="Arial Narrow"/>
          <w:i/>
          <w:snapToGrid w:val="0"/>
          <w:color w:val="000000"/>
          <w:sz w:val="24"/>
          <w:szCs w:val="24"/>
          <w:lang w:val="es-ES_tradnl"/>
        </w:rPr>
        <w:t xml:space="preserve"> S. A., Electro Sur Medio S. A., Escuela Superior de Administración de Negocios – ESA - actualmente Universidad, Atlas Compañía de Seguros, Asociación Civil Transparencia, Asociación Pro-Familia, </w:t>
      </w:r>
      <w:proofErr w:type="spellStart"/>
      <w:r w:rsidRPr="00FF6E5E">
        <w:rPr>
          <w:rFonts w:ascii="Arial Narrow" w:hAnsi="Arial Narrow"/>
          <w:i/>
          <w:snapToGrid w:val="0"/>
          <w:color w:val="000000"/>
          <w:sz w:val="24"/>
          <w:szCs w:val="24"/>
          <w:lang w:val="es-ES_tradnl"/>
        </w:rPr>
        <w:t>Family</w:t>
      </w:r>
      <w:proofErr w:type="spellEnd"/>
      <w:r w:rsidRPr="00FF6E5E">
        <w:rPr>
          <w:rFonts w:ascii="Arial Narrow" w:hAnsi="Arial Narrow"/>
          <w:i/>
          <w:snapToGrid w:val="0"/>
          <w:color w:val="000000"/>
          <w:sz w:val="24"/>
          <w:szCs w:val="24"/>
          <w:lang w:val="es-ES_tradnl"/>
        </w:rPr>
        <w:t xml:space="preserve"> </w:t>
      </w:r>
      <w:proofErr w:type="spellStart"/>
      <w:r w:rsidRPr="00FF6E5E">
        <w:rPr>
          <w:rFonts w:ascii="Arial Narrow" w:hAnsi="Arial Narrow"/>
          <w:i/>
          <w:snapToGrid w:val="0"/>
          <w:color w:val="000000"/>
          <w:sz w:val="24"/>
          <w:szCs w:val="24"/>
          <w:lang w:val="es-ES_tradnl"/>
        </w:rPr>
        <w:t>Health</w:t>
      </w:r>
      <w:proofErr w:type="spellEnd"/>
      <w:r w:rsidRPr="00FF6E5E">
        <w:rPr>
          <w:rFonts w:ascii="Arial Narrow" w:hAnsi="Arial Narrow"/>
          <w:i/>
          <w:snapToGrid w:val="0"/>
          <w:color w:val="000000"/>
          <w:sz w:val="24"/>
          <w:szCs w:val="24"/>
          <w:lang w:val="es-ES_tradnl"/>
        </w:rPr>
        <w:t xml:space="preserve"> </w:t>
      </w:r>
      <w:proofErr w:type="spellStart"/>
      <w:r w:rsidRPr="00FF6E5E">
        <w:rPr>
          <w:rFonts w:ascii="Arial Narrow" w:hAnsi="Arial Narrow"/>
          <w:i/>
          <w:snapToGrid w:val="0"/>
          <w:color w:val="000000"/>
          <w:sz w:val="24"/>
          <w:szCs w:val="24"/>
          <w:lang w:val="es-ES_tradnl"/>
        </w:rPr>
        <w:t>Insurance</w:t>
      </w:r>
      <w:proofErr w:type="spellEnd"/>
      <w:r w:rsidRPr="00FF6E5E">
        <w:rPr>
          <w:rFonts w:ascii="Arial Narrow" w:hAnsi="Arial Narrow"/>
          <w:i/>
          <w:snapToGrid w:val="0"/>
          <w:color w:val="000000"/>
          <w:sz w:val="24"/>
          <w:szCs w:val="24"/>
          <w:lang w:val="es-ES_tradnl"/>
        </w:rPr>
        <w:t xml:space="preserve">, Movimiento Manuela Ramos, Minerales Andinos S. A. BAROID, Alimentos y Productos del Maíz, - CPC International Inc., Eli – Lilly </w:t>
      </w:r>
      <w:proofErr w:type="spellStart"/>
      <w:r w:rsidRPr="00FF6E5E">
        <w:rPr>
          <w:rFonts w:ascii="Arial Narrow" w:hAnsi="Arial Narrow"/>
          <w:i/>
          <w:snapToGrid w:val="0"/>
          <w:color w:val="000000"/>
          <w:sz w:val="24"/>
          <w:szCs w:val="24"/>
          <w:lang w:val="es-ES_tradnl"/>
        </w:rPr>
        <w:t>Interamerican</w:t>
      </w:r>
      <w:proofErr w:type="spellEnd"/>
      <w:r w:rsidRPr="00FF6E5E">
        <w:rPr>
          <w:rFonts w:ascii="Arial Narrow" w:hAnsi="Arial Narrow"/>
          <w:i/>
          <w:snapToGrid w:val="0"/>
          <w:color w:val="000000"/>
          <w:sz w:val="24"/>
          <w:szCs w:val="24"/>
          <w:lang w:val="es-ES_tradnl"/>
        </w:rPr>
        <w:t xml:space="preserve"> Inc., Sud </w:t>
      </w:r>
      <w:proofErr w:type="spellStart"/>
      <w:r w:rsidRPr="00FF6E5E">
        <w:rPr>
          <w:rFonts w:ascii="Arial Narrow" w:hAnsi="Arial Narrow"/>
          <w:i/>
          <w:snapToGrid w:val="0"/>
          <w:color w:val="000000"/>
          <w:sz w:val="24"/>
          <w:szCs w:val="24"/>
          <w:lang w:val="es-ES_tradnl"/>
        </w:rPr>
        <w:t>Chemie</w:t>
      </w:r>
      <w:proofErr w:type="spellEnd"/>
      <w:r w:rsidRPr="00FF6E5E">
        <w:rPr>
          <w:rFonts w:ascii="Arial Narrow" w:hAnsi="Arial Narrow"/>
          <w:i/>
          <w:snapToGrid w:val="0"/>
          <w:color w:val="000000"/>
          <w:sz w:val="24"/>
          <w:szCs w:val="24"/>
          <w:lang w:val="es-ES_tradnl"/>
        </w:rPr>
        <w:t xml:space="preserve"> y Alemania – Arcillas Activadas Andinas S.A., </w:t>
      </w:r>
      <w:proofErr w:type="spellStart"/>
      <w:r w:rsidRPr="00FF6E5E">
        <w:rPr>
          <w:rFonts w:ascii="Arial Narrow" w:hAnsi="Arial Narrow"/>
          <w:i/>
          <w:snapToGrid w:val="0"/>
          <w:color w:val="000000"/>
          <w:sz w:val="24"/>
          <w:szCs w:val="24"/>
          <w:lang w:val="es-ES_tradnl"/>
        </w:rPr>
        <w:t>Trafigura</w:t>
      </w:r>
      <w:proofErr w:type="spellEnd"/>
      <w:r w:rsidRPr="00FF6E5E">
        <w:rPr>
          <w:rFonts w:ascii="Arial Narrow" w:hAnsi="Arial Narrow"/>
          <w:i/>
          <w:snapToGrid w:val="0"/>
          <w:color w:val="000000"/>
          <w:sz w:val="24"/>
          <w:szCs w:val="24"/>
          <w:lang w:val="es-ES_tradnl"/>
        </w:rPr>
        <w:t xml:space="preserve"> </w:t>
      </w:r>
      <w:proofErr w:type="spellStart"/>
      <w:r w:rsidRPr="00FF6E5E">
        <w:rPr>
          <w:rFonts w:ascii="Arial Narrow" w:hAnsi="Arial Narrow"/>
          <w:i/>
          <w:snapToGrid w:val="0"/>
          <w:color w:val="000000"/>
          <w:sz w:val="24"/>
          <w:szCs w:val="24"/>
          <w:lang w:val="es-ES_tradnl"/>
        </w:rPr>
        <w:t>Beheer</w:t>
      </w:r>
      <w:proofErr w:type="spellEnd"/>
      <w:r w:rsidRPr="00FF6E5E">
        <w:rPr>
          <w:rFonts w:ascii="Arial Narrow" w:hAnsi="Arial Narrow"/>
          <w:i/>
          <w:snapToGrid w:val="0"/>
          <w:color w:val="000000"/>
          <w:sz w:val="24"/>
          <w:szCs w:val="24"/>
          <w:lang w:val="es-ES_tradnl"/>
        </w:rPr>
        <w:t xml:space="preserve">, Holanda Consorcio Minero, Grupo Eternit, Grupo Wong, Boticas Torres de Limatambo S.A. y </w:t>
      </w:r>
      <w:proofErr w:type="spellStart"/>
      <w:r w:rsidRPr="00FF6E5E">
        <w:rPr>
          <w:rFonts w:ascii="Arial Narrow" w:hAnsi="Arial Narrow"/>
          <w:i/>
          <w:snapToGrid w:val="0"/>
          <w:color w:val="000000"/>
          <w:sz w:val="24"/>
          <w:szCs w:val="24"/>
          <w:lang w:val="es-ES_tradnl"/>
        </w:rPr>
        <w:t>Newfarm</w:t>
      </w:r>
      <w:proofErr w:type="spellEnd"/>
      <w:r w:rsidRPr="00FF6E5E">
        <w:rPr>
          <w:rFonts w:ascii="Arial Narrow" w:hAnsi="Arial Narrow"/>
          <w:i/>
          <w:snapToGrid w:val="0"/>
          <w:color w:val="000000"/>
          <w:sz w:val="24"/>
          <w:szCs w:val="24"/>
          <w:lang w:val="es-ES_tradnl"/>
        </w:rPr>
        <w:t xml:space="preserve"> S. A. Ambas relacionadas con </w:t>
      </w:r>
      <w:proofErr w:type="spellStart"/>
      <w:r w:rsidRPr="00FF6E5E">
        <w:rPr>
          <w:rFonts w:ascii="Arial Narrow" w:hAnsi="Arial Narrow"/>
          <w:i/>
          <w:snapToGrid w:val="0"/>
          <w:color w:val="000000"/>
          <w:sz w:val="24"/>
          <w:szCs w:val="24"/>
          <w:lang w:val="es-ES_tradnl"/>
        </w:rPr>
        <w:t>Laboratioros</w:t>
      </w:r>
      <w:proofErr w:type="spellEnd"/>
      <w:r w:rsidRPr="00FF6E5E">
        <w:rPr>
          <w:rFonts w:ascii="Arial Narrow" w:hAnsi="Arial Narrow"/>
          <w:i/>
          <w:snapToGrid w:val="0"/>
          <w:color w:val="000000"/>
          <w:sz w:val="24"/>
          <w:szCs w:val="24"/>
          <w:lang w:val="es-ES_tradnl"/>
        </w:rPr>
        <w:t xml:space="preserve"> de Chile, Placer Dome S. A., Andes Films S. A, así como el, Banco Interamericano de Finanzas – BIF y Banco Central de Madrid (Sucursal de Lima), Banco Latino.</w:t>
      </w:r>
    </w:p>
    <w:p w14:paraId="39069AC8" w14:textId="77777777" w:rsidR="003A7A33" w:rsidRPr="00FF6E5E" w:rsidRDefault="003A7A33" w:rsidP="003A7A33">
      <w:pPr>
        <w:pStyle w:val="Textoindependiente"/>
        <w:jc w:val="both"/>
        <w:rPr>
          <w:rFonts w:ascii="Arial Narrow" w:hAnsi="Arial Narrow"/>
          <w:szCs w:val="24"/>
        </w:rPr>
      </w:pPr>
    </w:p>
    <w:p w14:paraId="4D6CB80F" w14:textId="77777777" w:rsidR="003A7A33" w:rsidRPr="00FF6E5E" w:rsidRDefault="003A7A33" w:rsidP="003A7A33">
      <w:pPr>
        <w:pStyle w:val="Textoindependiente"/>
        <w:jc w:val="both"/>
        <w:rPr>
          <w:rFonts w:ascii="Arial Narrow" w:hAnsi="Arial Narrow"/>
          <w:szCs w:val="24"/>
        </w:rPr>
      </w:pPr>
      <w:r w:rsidRPr="00FF6E5E">
        <w:rPr>
          <w:rFonts w:ascii="Arial Narrow" w:hAnsi="Arial Narrow"/>
          <w:szCs w:val="24"/>
        </w:rPr>
        <w:t xml:space="preserve">Como miembro de Ernst &amp; Young participó como Consultor de la Superintendencia de Banco de Bolivia, dentro de un programa patrocinado por el Banco Mundial, para atestiguar sobre las auditorías externas de veintiún bancos, efectuada por firmas internacionales de reconocido prestigio. </w:t>
      </w:r>
    </w:p>
    <w:p w14:paraId="5EDDE346" w14:textId="77777777" w:rsidR="003A7A33" w:rsidRPr="00FF6E5E" w:rsidRDefault="003A7A33" w:rsidP="003A7A33">
      <w:pPr>
        <w:pStyle w:val="Sangradetextonormal"/>
        <w:tabs>
          <w:tab w:val="left" w:pos="2552"/>
        </w:tabs>
        <w:ind w:left="3119" w:hanging="3119"/>
        <w:rPr>
          <w:rFonts w:ascii="Arial Narrow" w:hAnsi="Arial Narrow"/>
          <w:sz w:val="24"/>
          <w:szCs w:val="24"/>
        </w:rPr>
      </w:pPr>
    </w:p>
    <w:p w14:paraId="1801486D" w14:textId="77777777" w:rsidR="003A7A33" w:rsidRPr="00FF6E5E" w:rsidRDefault="003A7A33" w:rsidP="003A7A33">
      <w:pPr>
        <w:pStyle w:val="Textoindependiente"/>
        <w:rPr>
          <w:rFonts w:ascii="Arial Narrow" w:hAnsi="Arial Narrow"/>
          <w:b/>
          <w:szCs w:val="24"/>
        </w:rPr>
      </w:pPr>
      <w:r w:rsidRPr="00FF6E5E">
        <w:rPr>
          <w:rFonts w:ascii="Arial Narrow" w:hAnsi="Arial Narrow"/>
          <w:b/>
          <w:szCs w:val="24"/>
        </w:rPr>
        <w:t>Calificaciones Profesionales</w:t>
      </w:r>
    </w:p>
    <w:p w14:paraId="04442C22" w14:textId="77777777" w:rsidR="003A7A33" w:rsidRPr="00FF6E5E" w:rsidRDefault="003A7A33" w:rsidP="003A7A33">
      <w:pPr>
        <w:pStyle w:val="Textoindependiente"/>
        <w:rPr>
          <w:rFonts w:ascii="Arial Narrow" w:hAnsi="Arial Narrow"/>
          <w:szCs w:val="24"/>
        </w:rPr>
      </w:pPr>
    </w:p>
    <w:p w14:paraId="465DCB9C" w14:textId="77777777" w:rsidR="003A7A33" w:rsidRPr="00FF6E5E" w:rsidRDefault="003A7A33" w:rsidP="003A7A33">
      <w:pPr>
        <w:pStyle w:val="Textoindependiente"/>
        <w:numPr>
          <w:ilvl w:val="0"/>
          <w:numId w:val="1"/>
        </w:numPr>
        <w:tabs>
          <w:tab w:val="left" w:pos="8505"/>
        </w:tabs>
        <w:ind w:right="-15"/>
        <w:jc w:val="both"/>
        <w:rPr>
          <w:rFonts w:ascii="Arial Narrow" w:hAnsi="Arial Narrow"/>
          <w:szCs w:val="24"/>
        </w:rPr>
      </w:pPr>
      <w:r w:rsidRPr="00FF6E5E">
        <w:rPr>
          <w:rFonts w:ascii="Arial Narrow" w:hAnsi="Arial Narrow"/>
          <w:szCs w:val="24"/>
        </w:rPr>
        <w:t>Contador Público, Universidad Nacional Federico Villarreal.</w:t>
      </w:r>
    </w:p>
    <w:p w14:paraId="17590B29" w14:textId="77777777" w:rsidR="003A7A33" w:rsidRPr="00FF6E5E" w:rsidRDefault="003A7A33" w:rsidP="003A7A33">
      <w:pPr>
        <w:pStyle w:val="Textoindependiente"/>
        <w:numPr>
          <w:ilvl w:val="0"/>
          <w:numId w:val="1"/>
        </w:numPr>
        <w:tabs>
          <w:tab w:val="left" w:pos="8505"/>
        </w:tabs>
        <w:ind w:right="-15"/>
        <w:jc w:val="both"/>
        <w:rPr>
          <w:rFonts w:ascii="Arial Narrow" w:hAnsi="Arial Narrow"/>
          <w:szCs w:val="24"/>
        </w:rPr>
      </w:pPr>
      <w:r w:rsidRPr="00FF6E5E">
        <w:rPr>
          <w:rFonts w:ascii="Arial Narrow" w:hAnsi="Arial Narrow"/>
          <w:szCs w:val="24"/>
        </w:rPr>
        <w:t>Miembro del Colegio de Contadores Públicos de Lima.</w:t>
      </w:r>
    </w:p>
    <w:p w14:paraId="4E0DD9D8" w14:textId="77777777" w:rsidR="003A7A33" w:rsidRPr="00FF6E5E" w:rsidRDefault="003A7A33" w:rsidP="003A7A33">
      <w:pPr>
        <w:pStyle w:val="Textoindependiente"/>
        <w:numPr>
          <w:ilvl w:val="0"/>
          <w:numId w:val="1"/>
        </w:numPr>
        <w:tabs>
          <w:tab w:val="left" w:pos="8505"/>
        </w:tabs>
        <w:ind w:right="-15"/>
        <w:jc w:val="both"/>
        <w:rPr>
          <w:rFonts w:ascii="Arial Narrow" w:hAnsi="Arial Narrow"/>
          <w:szCs w:val="24"/>
        </w:rPr>
      </w:pPr>
      <w:r w:rsidRPr="00FF6E5E">
        <w:rPr>
          <w:rFonts w:ascii="Arial Narrow" w:hAnsi="Arial Narrow"/>
          <w:szCs w:val="24"/>
        </w:rPr>
        <w:t>Miembro del Colegio de Contadores Público de Lima como Auditor Independiente.</w:t>
      </w:r>
    </w:p>
    <w:p w14:paraId="10D7FF26" w14:textId="77777777" w:rsidR="003A7A33" w:rsidRPr="00FF6E5E" w:rsidRDefault="003A7A33" w:rsidP="003A7A33">
      <w:pPr>
        <w:pStyle w:val="Textoindependiente"/>
        <w:rPr>
          <w:rFonts w:ascii="Arial Narrow" w:hAnsi="Arial Narrow"/>
          <w:szCs w:val="24"/>
        </w:rPr>
      </w:pPr>
    </w:p>
    <w:p w14:paraId="49641F6F" w14:textId="77777777" w:rsidR="003A7A33" w:rsidRPr="00FF6E5E" w:rsidRDefault="003A7A33" w:rsidP="003A7A33">
      <w:pPr>
        <w:pStyle w:val="Textoindependiente"/>
        <w:rPr>
          <w:rFonts w:ascii="Arial Narrow" w:hAnsi="Arial Narrow"/>
          <w:b/>
          <w:szCs w:val="24"/>
        </w:rPr>
      </w:pPr>
      <w:r w:rsidRPr="00FF6E5E">
        <w:rPr>
          <w:rFonts w:ascii="Arial Narrow" w:hAnsi="Arial Narrow"/>
          <w:b/>
          <w:szCs w:val="24"/>
        </w:rPr>
        <w:t>Actividades Profesionales:</w:t>
      </w:r>
    </w:p>
    <w:p w14:paraId="2116BBDE" w14:textId="77777777" w:rsidR="003A7A33" w:rsidRPr="006A78A8" w:rsidRDefault="003A7A33" w:rsidP="003A7A33">
      <w:pPr>
        <w:jc w:val="both"/>
        <w:rPr>
          <w:rFonts w:ascii="Arial Narrow" w:hAnsi="Arial Narrow"/>
          <w:i/>
          <w:sz w:val="24"/>
          <w:szCs w:val="24"/>
          <w:lang w:val="es-ES_tradnl"/>
        </w:rPr>
      </w:pPr>
    </w:p>
    <w:p w14:paraId="003205A0" w14:textId="4A4DDED3" w:rsidR="003A7A33" w:rsidRPr="00FF6E5E" w:rsidRDefault="003A7A33" w:rsidP="003A7A33">
      <w:pPr>
        <w:jc w:val="both"/>
        <w:rPr>
          <w:rFonts w:ascii="Arial Narrow" w:hAnsi="Arial Narrow"/>
          <w:i/>
          <w:sz w:val="24"/>
          <w:szCs w:val="24"/>
        </w:rPr>
      </w:pPr>
      <w:r w:rsidRPr="00FF6E5E">
        <w:rPr>
          <w:rFonts w:ascii="Arial Narrow" w:hAnsi="Arial Narrow"/>
          <w:i/>
          <w:sz w:val="24"/>
          <w:szCs w:val="24"/>
        </w:rPr>
        <w:t>2014 – presente</w:t>
      </w:r>
      <w:r w:rsidRPr="00FF6E5E">
        <w:rPr>
          <w:rFonts w:ascii="Arial Narrow" w:hAnsi="Arial Narrow"/>
          <w:i/>
          <w:sz w:val="24"/>
          <w:szCs w:val="24"/>
        </w:rPr>
        <w:tab/>
        <w:t xml:space="preserve">    </w:t>
      </w:r>
      <w:r w:rsidR="006A78A8" w:rsidRPr="006A78A8">
        <w:rPr>
          <w:rFonts w:ascii="Arial Narrow" w:hAnsi="Arial Narrow"/>
          <w:iCs/>
          <w:sz w:val="24"/>
          <w:szCs w:val="24"/>
        </w:rPr>
        <w:t xml:space="preserve"> :</w:t>
      </w:r>
      <w:r w:rsidRPr="00FF6E5E">
        <w:rPr>
          <w:rFonts w:ascii="Arial Narrow" w:hAnsi="Arial Narrow"/>
          <w:i/>
          <w:sz w:val="24"/>
          <w:szCs w:val="24"/>
        </w:rPr>
        <w:tab/>
        <w:t xml:space="preserve">    Socio de </w:t>
      </w:r>
      <w:proofErr w:type="spellStart"/>
      <w:r w:rsidR="006A78A8" w:rsidRPr="00FF6E5E">
        <w:rPr>
          <w:rFonts w:ascii="Arial Narrow" w:hAnsi="Arial Narrow"/>
          <w:i/>
          <w:sz w:val="24"/>
          <w:szCs w:val="24"/>
        </w:rPr>
        <w:t>Alc</w:t>
      </w:r>
      <w:r w:rsidR="006A78A8">
        <w:rPr>
          <w:rFonts w:ascii="Arial Narrow" w:hAnsi="Arial Narrow"/>
          <w:i/>
          <w:sz w:val="24"/>
          <w:szCs w:val="24"/>
        </w:rPr>
        <w:t>a</w:t>
      </w:r>
      <w:r w:rsidR="006A78A8" w:rsidRPr="00FF6E5E">
        <w:rPr>
          <w:rFonts w:ascii="Arial Narrow" w:hAnsi="Arial Narrow"/>
          <w:i/>
          <w:sz w:val="24"/>
          <w:szCs w:val="24"/>
        </w:rPr>
        <w:t>ntara</w:t>
      </w:r>
      <w:proofErr w:type="spellEnd"/>
      <w:r w:rsidRPr="00FF6E5E">
        <w:rPr>
          <w:rFonts w:ascii="Arial Narrow" w:hAnsi="Arial Narrow"/>
          <w:i/>
          <w:sz w:val="24"/>
          <w:szCs w:val="24"/>
        </w:rPr>
        <w:t xml:space="preserve"> La Rosa y Asociados S.C.</w:t>
      </w:r>
    </w:p>
    <w:p w14:paraId="1A0E73AA" w14:textId="77777777" w:rsidR="003A7A33" w:rsidRPr="00FF6E5E" w:rsidRDefault="003A7A33" w:rsidP="003A7A33">
      <w:pPr>
        <w:jc w:val="both"/>
        <w:rPr>
          <w:rFonts w:ascii="Arial Narrow" w:hAnsi="Arial Narrow"/>
          <w:i/>
          <w:sz w:val="24"/>
          <w:szCs w:val="24"/>
        </w:rPr>
      </w:pPr>
    </w:p>
    <w:p w14:paraId="3777FE80" w14:textId="6C8BC0B1" w:rsidR="003A7A33" w:rsidRPr="00FF6E5E" w:rsidRDefault="003A7A33" w:rsidP="006A78A8">
      <w:pPr>
        <w:widowControl w:val="0"/>
        <w:tabs>
          <w:tab w:val="left" w:pos="2410"/>
        </w:tabs>
        <w:snapToGrid w:val="0"/>
        <w:spacing w:line="360" w:lineRule="auto"/>
        <w:ind w:left="3119" w:hanging="3119"/>
        <w:jc w:val="both"/>
        <w:rPr>
          <w:rFonts w:ascii="Arial Narrow" w:hAnsi="Arial Narrow"/>
          <w:sz w:val="24"/>
          <w:szCs w:val="24"/>
          <w:lang w:val="es-MX"/>
        </w:rPr>
      </w:pPr>
      <w:r w:rsidRPr="00FF6E5E">
        <w:rPr>
          <w:rFonts w:ascii="Arial Narrow" w:hAnsi="Arial Narrow"/>
          <w:sz w:val="24"/>
          <w:szCs w:val="24"/>
          <w:lang w:val="es-MX"/>
        </w:rPr>
        <w:t>2002 – 2013</w:t>
      </w:r>
      <w:r w:rsidRPr="00FF6E5E">
        <w:rPr>
          <w:rFonts w:ascii="Arial Narrow" w:hAnsi="Arial Narrow"/>
          <w:sz w:val="24"/>
          <w:szCs w:val="24"/>
          <w:lang w:val="es-MX"/>
        </w:rPr>
        <w:tab/>
        <w:t>:</w:t>
      </w:r>
      <w:r w:rsidRPr="00FF6E5E">
        <w:rPr>
          <w:rFonts w:ascii="Arial Narrow" w:hAnsi="Arial Narrow"/>
          <w:sz w:val="24"/>
          <w:szCs w:val="24"/>
          <w:lang w:val="es-MX"/>
        </w:rPr>
        <w:tab/>
        <w:t>Ejecutivo de Auditoría de Delgado Fernández y Asociados.</w:t>
      </w:r>
    </w:p>
    <w:p w14:paraId="116B501F" w14:textId="77777777" w:rsidR="003A7A33" w:rsidRPr="00FF6E5E" w:rsidRDefault="003A7A33" w:rsidP="003A7A33">
      <w:pPr>
        <w:jc w:val="both"/>
        <w:rPr>
          <w:rFonts w:ascii="Arial Narrow" w:hAnsi="Arial Narrow"/>
          <w:sz w:val="24"/>
          <w:szCs w:val="24"/>
        </w:rPr>
      </w:pPr>
    </w:p>
    <w:p w14:paraId="5CED7639" w14:textId="2BF8E9F3" w:rsidR="003A7A33" w:rsidRPr="00FF6E5E" w:rsidRDefault="003A7A33" w:rsidP="006A78A8">
      <w:pPr>
        <w:pStyle w:val="Sangra2detindependiente"/>
        <w:tabs>
          <w:tab w:val="left" w:pos="2410"/>
        </w:tabs>
        <w:ind w:left="3119" w:hanging="3119"/>
        <w:jc w:val="both"/>
        <w:rPr>
          <w:rFonts w:ascii="Arial Narrow" w:hAnsi="Arial Narrow"/>
          <w:i w:val="0"/>
          <w:szCs w:val="24"/>
        </w:rPr>
      </w:pPr>
      <w:r w:rsidRPr="00FF6E5E">
        <w:rPr>
          <w:rFonts w:ascii="Arial Narrow" w:hAnsi="Arial Narrow"/>
          <w:i w:val="0"/>
          <w:szCs w:val="24"/>
        </w:rPr>
        <w:t>2001 – 2002</w:t>
      </w:r>
      <w:r w:rsidR="006A78A8">
        <w:rPr>
          <w:rFonts w:ascii="Arial Narrow" w:hAnsi="Arial Narrow"/>
          <w:i w:val="0"/>
          <w:szCs w:val="24"/>
        </w:rPr>
        <w:tab/>
      </w:r>
      <w:r w:rsidRPr="00FF6E5E">
        <w:rPr>
          <w:rFonts w:ascii="Arial Narrow" w:hAnsi="Arial Narrow"/>
          <w:i w:val="0"/>
          <w:szCs w:val="24"/>
        </w:rPr>
        <w:t>:</w:t>
      </w:r>
      <w:r w:rsidRPr="00FF6E5E">
        <w:rPr>
          <w:rFonts w:ascii="Arial Narrow" w:hAnsi="Arial Narrow"/>
          <w:i w:val="0"/>
          <w:szCs w:val="24"/>
        </w:rPr>
        <w:tab/>
        <w:t>Rodolfo Retamozo y Asociados integrante de Grant Thornton International; Gerente Senior de auditoría.</w:t>
      </w:r>
    </w:p>
    <w:p w14:paraId="3C071006" w14:textId="77777777" w:rsidR="003A7A33" w:rsidRDefault="003A7A33" w:rsidP="003A7A33">
      <w:pPr>
        <w:pStyle w:val="Sangradetextonormal"/>
        <w:tabs>
          <w:tab w:val="clear" w:pos="2835"/>
          <w:tab w:val="left" w:pos="2552"/>
        </w:tabs>
        <w:ind w:left="2835" w:hanging="2835"/>
        <w:rPr>
          <w:rFonts w:ascii="Arial Narrow" w:hAnsi="Arial Narrow"/>
          <w:sz w:val="24"/>
          <w:szCs w:val="24"/>
        </w:rPr>
      </w:pPr>
    </w:p>
    <w:p w14:paraId="2741AE12" w14:textId="44F31204" w:rsidR="003A7A33" w:rsidRPr="00FF6E5E" w:rsidRDefault="003A7A33" w:rsidP="006A78A8">
      <w:pPr>
        <w:pStyle w:val="Sangradetextonormal"/>
        <w:tabs>
          <w:tab w:val="clear" w:pos="2835"/>
          <w:tab w:val="left" w:pos="2410"/>
        </w:tabs>
        <w:ind w:left="3119" w:hanging="3119"/>
        <w:rPr>
          <w:rFonts w:ascii="Arial Narrow" w:hAnsi="Arial Narrow"/>
          <w:sz w:val="24"/>
          <w:szCs w:val="24"/>
        </w:rPr>
      </w:pPr>
      <w:r w:rsidRPr="00FF6E5E">
        <w:rPr>
          <w:rFonts w:ascii="Arial Narrow" w:hAnsi="Arial Narrow"/>
          <w:sz w:val="24"/>
          <w:szCs w:val="24"/>
        </w:rPr>
        <w:t>1982 - 2001</w:t>
      </w:r>
      <w:r w:rsidRPr="00FF6E5E">
        <w:rPr>
          <w:rFonts w:ascii="Arial Narrow" w:hAnsi="Arial Narrow"/>
          <w:sz w:val="24"/>
          <w:szCs w:val="24"/>
        </w:rPr>
        <w:tab/>
      </w:r>
      <w:r w:rsidRPr="006A78A8">
        <w:rPr>
          <w:rFonts w:ascii="Arial Narrow" w:hAnsi="Arial Narrow"/>
          <w:i w:val="0"/>
          <w:iCs/>
          <w:sz w:val="24"/>
          <w:szCs w:val="24"/>
        </w:rPr>
        <w:t>:</w:t>
      </w:r>
      <w:r w:rsidRPr="00FF6E5E">
        <w:rPr>
          <w:rFonts w:ascii="Arial Narrow" w:hAnsi="Arial Narrow"/>
          <w:sz w:val="24"/>
          <w:szCs w:val="24"/>
        </w:rPr>
        <w:tab/>
        <w:t>Alonso y Asociados, miembro de Ernst &amp; Young; Gerente Senior de Auditoría desde 1983.</w:t>
      </w:r>
    </w:p>
    <w:p w14:paraId="1DBFAEE6" w14:textId="77777777" w:rsidR="003A7A33" w:rsidRPr="00FF6E5E" w:rsidRDefault="003A7A33" w:rsidP="003A7A33">
      <w:pPr>
        <w:pStyle w:val="Sangradetextonormal"/>
        <w:tabs>
          <w:tab w:val="left" w:pos="2552"/>
        </w:tabs>
        <w:ind w:left="3119" w:hanging="3119"/>
        <w:rPr>
          <w:rFonts w:ascii="Arial Narrow" w:hAnsi="Arial Narrow"/>
          <w:sz w:val="24"/>
          <w:szCs w:val="24"/>
        </w:rPr>
      </w:pPr>
    </w:p>
    <w:p w14:paraId="5DA57689" w14:textId="3A8EBDAD" w:rsidR="003A7A33" w:rsidRPr="00FF6E5E" w:rsidRDefault="003A7A33" w:rsidP="006A78A8">
      <w:pPr>
        <w:pStyle w:val="Sangradetextonormal"/>
        <w:tabs>
          <w:tab w:val="clear" w:pos="2835"/>
        </w:tabs>
        <w:ind w:left="2410" w:hanging="2410"/>
        <w:rPr>
          <w:rFonts w:ascii="Arial Narrow" w:hAnsi="Arial Narrow"/>
          <w:sz w:val="24"/>
          <w:szCs w:val="24"/>
        </w:rPr>
      </w:pPr>
      <w:r w:rsidRPr="00FF6E5E">
        <w:rPr>
          <w:rFonts w:ascii="Arial Narrow" w:hAnsi="Arial Narrow"/>
          <w:sz w:val="24"/>
          <w:szCs w:val="24"/>
        </w:rPr>
        <w:t>1980 – 1981</w:t>
      </w:r>
      <w:r w:rsidRPr="00FF6E5E">
        <w:rPr>
          <w:rFonts w:ascii="Arial Narrow" w:hAnsi="Arial Narrow"/>
          <w:sz w:val="24"/>
          <w:szCs w:val="24"/>
        </w:rPr>
        <w:tab/>
      </w:r>
      <w:r w:rsidRPr="006A78A8">
        <w:rPr>
          <w:rFonts w:ascii="Arial Narrow" w:hAnsi="Arial Narrow"/>
          <w:i w:val="0"/>
          <w:iCs/>
          <w:sz w:val="24"/>
          <w:szCs w:val="24"/>
        </w:rPr>
        <w:t>:</w:t>
      </w:r>
      <w:r w:rsidRPr="00FF6E5E">
        <w:rPr>
          <w:rFonts w:ascii="Arial Narrow" w:hAnsi="Arial Narrow"/>
          <w:sz w:val="24"/>
          <w:szCs w:val="24"/>
        </w:rPr>
        <w:tab/>
      </w:r>
      <w:r w:rsidR="006A78A8">
        <w:rPr>
          <w:rFonts w:ascii="Arial Narrow" w:hAnsi="Arial Narrow"/>
          <w:sz w:val="24"/>
          <w:szCs w:val="24"/>
        </w:rPr>
        <w:t xml:space="preserve">     </w:t>
      </w:r>
      <w:r w:rsidRPr="00FF6E5E">
        <w:rPr>
          <w:rFonts w:ascii="Arial Narrow" w:hAnsi="Arial Narrow"/>
          <w:sz w:val="24"/>
          <w:szCs w:val="24"/>
        </w:rPr>
        <w:t>DISTRALSA – Grupo Inca-Kola, Gerente Administrativo.</w:t>
      </w:r>
    </w:p>
    <w:p w14:paraId="2FC13C76" w14:textId="77777777" w:rsidR="003A7A33" w:rsidRPr="00FF6E5E" w:rsidRDefault="003A7A33" w:rsidP="003A7A33">
      <w:pPr>
        <w:jc w:val="both"/>
        <w:rPr>
          <w:rFonts w:ascii="Arial Narrow" w:hAnsi="Arial Narrow"/>
          <w:i/>
          <w:sz w:val="24"/>
          <w:szCs w:val="24"/>
        </w:rPr>
      </w:pPr>
    </w:p>
    <w:p w14:paraId="23395AC7" w14:textId="5358FFDE" w:rsidR="003A7A33" w:rsidRPr="00FF6E5E" w:rsidRDefault="003A7A33" w:rsidP="006A78A8">
      <w:pPr>
        <w:pStyle w:val="Sangradetextonormal"/>
        <w:tabs>
          <w:tab w:val="clear" w:pos="2835"/>
          <w:tab w:val="left" w:pos="2410"/>
          <w:tab w:val="left" w:pos="3119"/>
        </w:tabs>
        <w:ind w:left="3119" w:hanging="3119"/>
        <w:jc w:val="both"/>
        <w:rPr>
          <w:rFonts w:ascii="Arial Narrow" w:hAnsi="Arial Narrow"/>
          <w:sz w:val="24"/>
          <w:szCs w:val="24"/>
        </w:rPr>
      </w:pPr>
      <w:r w:rsidRPr="00FF6E5E">
        <w:rPr>
          <w:rFonts w:ascii="Arial Narrow" w:hAnsi="Arial Narrow"/>
          <w:sz w:val="24"/>
          <w:szCs w:val="24"/>
        </w:rPr>
        <w:t>1971 – 1980</w:t>
      </w:r>
      <w:r w:rsidRPr="00FF6E5E">
        <w:rPr>
          <w:rFonts w:ascii="Arial Narrow" w:hAnsi="Arial Narrow"/>
          <w:sz w:val="24"/>
          <w:szCs w:val="24"/>
        </w:rPr>
        <w:tab/>
        <w:t>:</w:t>
      </w:r>
      <w:r w:rsidRPr="00FF6E5E">
        <w:rPr>
          <w:rFonts w:ascii="Arial Narrow" w:hAnsi="Arial Narrow"/>
          <w:sz w:val="24"/>
          <w:szCs w:val="24"/>
        </w:rPr>
        <w:tab/>
        <w:t>Alonso y Asociados, miembro de Ernst &amp; Young; Supervisor de</w:t>
      </w:r>
      <w:r w:rsidR="006A78A8">
        <w:rPr>
          <w:rFonts w:ascii="Arial Narrow" w:hAnsi="Arial Narrow"/>
          <w:sz w:val="24"/>
          <w:szCs w:val="24"/>
        </w:rPr>
        <w:t xml:space="preserve"> </w:t>
      </w:r>
      <w:r w:rsidRPr="00FF6E5E">
        <w:rPr>
          <w:rFonts w:ascii="Arial Narrow" w:hAnsi="Arial Narrow"/>
          <w:sz w:val="24"/>
          <w:szCs w:val="24"/>
        </w:rPr>
        <w:t>Auditoría.</w:t>
      </w:r>
    </w:p>
    <w:p w14:paraId="6A5C4AF3" w14:textId="75FE9795" w:rsidR="003A7A33" w:rsidRDefault="003A7A33" w:rsidP="003A7A33">
      <w:pPr>
        <w:pStyle w:val="Textoindependiente"/>
        <w:rPr>
          <w:rFonts w:ascii="Arial Narrow" w:hAnsi="Arial Narrow"/>
          <w:b/>
          <w:szCs w:val="24"/>
        </w:rPr>
      </w:pPr>
    </w:p>
    <w:p w14:paraId="430A346D" w14:textId="798A18D4" w:rsidR="003A7A33" w:rsidRDefault="003A7A33" w:rsidP="003A7A33">
      <w:pPr>
        <w:pStyle w:val="Textoindependiente"/>
        <w:rPr>
          <w:rFonts w:ascii="Arial Narrow" w:hAnsi="Arial Narrow"/>
          <w:b/>
          <w:szCs w:val="24"/>
        </w:rPr>
      </w:pPr>
    </w:p>
    <w:p w14:paraId="41E7780C" w14:textId="286A1F18" w:rsidR="003A7A33" w:rsidRDefault="003A7A33" w:rsidP="003A7A33">
      <w:pPr>
        <w:pStyle w:val="Textoindependiente"/>
        <w:rPr>
          <w:rFonts w:ascii="Arial Narrow" w:hAnsi="Arial Narrow"/>
          <w:b/>
          <w:szCs w:val="24"/>
        </w:rPr>
      </w:pPr>
    </w:p>
    <w:p w14:paraId="0A37AF6B" w14:textId="15514B3B" w:rsidR="006A78A8" w:rsidRDefault="006A78A8" w:rsidP="003A7A33">
      <w:pPr>
        <w:pStyle w:val="Textoindependiente"/>
        <w:rPr>
          <w:rFonts w:ascii="Arial Narrow" w:hAnsi="Arial Narrow"/>
          <w:b/>
          <w:szCs w:val="24"/>
        </w:rPr>
      </w:pPr>
    </w:p>
    <w:p w14:paraId="6ABFC21D" w14:textId="77777777" w:rsidR="006A78A8" w:rsidRDefault="006A78A8" w:rsidP="003A7A33">
      <w:pPr>
        <w:pStyle w:val="Textoindependiente"/>
        <w:rPr>
          <w:rFonts w:ascii="Arial Narrow" w:hAnsi="Arial Narrow"/>
          <w:b/>
          <w:szCs w:val="24"/>
        </w:rPr>
      </w:pPr>
    </w:p>
    <w:p w14:paraId="71B43121" w14:textId="77777777" w:rsidR="003A7A33" w:rsidRPr="00FF6E5E" w:rsidRDefault="003A7A33" w:rsidP="003A7A33">
      <w:pPr>
        <w:pStyle w:val="Textoindependiente"/>
        <w:rPr>
          <w:rFonts w:ascii="Arial Narrow" w:hAnsi="Arial Narrow"/>
          <w:b/>
          <w:szCs w:val="24"/>
        </w:rPr>
      </w:pPr>
    </w:p>
    <w:p w14:paraId="28CDAB90" w14:textId="77777777" w:rsidR="003A7A33" w:rsidRPr="00FF6E5E" w:rsidRDefault="003A7A33" w:rsidP="003A7A33">
      <w:pPr>
        <w:pStyle w:val="Textoindependiente"/>
        <w:rPr>
          <w:rFonts w:ascii="Arial Narrow" w:hAnsi="Arial Narrow"/>
          <w:b/>
          <w:szCs w:val="24"/>
        </w:rPr>
      </w:pPr>
      <w:r w:rsidRPr="00FF6E5E">
        <w:rPr>
          <w:rFonts w:ascii="Arial Narrow" w:hAnsi="Arial Narrow"/>
          <w:b/>
          <w:szCs w:val="24"/>
        </w:rPr>
        <w:lastRenderedPageBreak/>
        <w:t>Otras Actividades:</w:t>
      </w:r>
    </w:p>
    <w:p w14:paraId="753B6E6E" w14:textId="77777777" w:rsidR="003A7A33" w:rsidRPr="00FF6E5E" w:rsidRDefault="003A7A33" w:rsidP="003A7A33">
      <w:pPr>
        <w:pStyle w:val="Textoindependiente"/>
        <w:rPr>
          <w:rFonts w:ascii="Arial Narrow" w:hAnsi="Arial Narrow"/>
          <w:szCs w:val="24"/>
        </w:rPr>
      </w:pPr>
    </w:p>
    <w:p w14:paraId="040857DE" w14:textId="77777777" w:rsidR="003A7A33" w:rsidRPr="00FF6E5E" w:rsidRDefault="003A7A33" w:rsidP="003A7A33">
      <w:pPr>
        <w:pStyle w:val="Sangra3detindependiente"/>
        <w:tabs>
          <w:tab w:val="left" w:pos="2410"/>
        </w:tabs>
        <w:ind w:left="2835" w:hanging="2835"/>
        <w:rPr>
          <w:i/>
          <w:sz w:val="24"/>
          <w:szCs w:val="24"/>
        </w:rPr>
      </w:pPr>
      <w:r w:rsidRPr="00FF6E5E">
        <w:rPr>
          <w:i/>
          <w:sz w:val="24"/>
          <w:szCs w:val="24"/>
        </w:rPr>
        <w:t>2003 – Abr.  May.</w:t>
      </w:r>
      <w:r w:rsidRPr="00FF6E5E">
        <w:rPr>
          <w:i/>
          <w:sz w:val="24"/>
          <w:szCs w:val="24"/>
        </w:rPr>
        <w:tab/>
        <w:t>:</w:t>
      </w:r>
      <w:r w:rsidRPr="00FF6E5E">
        <w:rPr>
          <w:i/>
          <w:sz w:val="24"/>
          <w:szCs w:val="24"/>
        </w:rPr>
        <w:tab/>
        <w:t xml:space="preserve">Profesor de Auditoria Financiera en </w:t>
      </w:r>
      <w:smartTag w:uri="urn:schemas-microsoft-com:office:smarttags" w:element="PersonName">
        <w:smartTagPr>
          <w:attr w:name="ProductID" w:val="la Universidad Mayor"/>
        </w:smartTagPr>
        <w:r w:rsidRPr="00FF6E5E">
          <w:rPr>
            <w:i/>
            <w:sz w:val="24"/>
            <w:szCs w:val="24"/>
          </w:rPr>
          <w:t>la Universidad Mayor</w:t>
        </w:r>
      </w:smartTag>
      <w:r w:rsidRPr="00FF6E5E">
        <w:rPr>
          <w:i/>
          <w:sz w:val="24"/>
          <w:szCs w:val="24"/>
        </w:rPr>
        <w:t xml:space="preserve"> de San Marcos.</w:t>
      </w:r>
    </w:p>
    <w:p w14:paraId="4F1F9453" w14:textId="77777777" w:rsidR="003A7A33" w:rsidRPr="00FF6E5E" w:rsidRDefault="003A7A33" w:rsidP="003A7A33">
      <w:pPr>
        <w:pStyle w:val="Sangra3detindependiente"/>
        <w:rPr>
          <w:i/>
          <w:sz w:val="24"/>
          <w:szCs w:val="24"/>
        </w:rPr>
      </w:pPr>
    </w:p>
    <w:p w14:paraId="098A023B" w14:textId="77777777" w:rsidR="003A7A33" w:rsidRPr="00FF6E5E" w:rsidRDefault="003A7A33" w:rsidP="003A7A33">
      <w:pPr>
        <w:pStyle w:val="Sangra2detindependiente"/>
        <w:tabs>
          <w:tab w:val="left" w:pos="2410"/>
        </w:tabs>
        <w:ind w:left="2835" w:hanging="2835"/>
        <w:jc w:val="both"/>
        <w:rPr>
          <w:rFonts w:ascii="Arial Narrow" w:hAnsi="Arial Narrow"/>
          <w:szCs w:val="24"/>
          <w:lang w:val="es-MX"/>
        </w:rPr>
      </w:pPr>
      <w:r w:rsidRPr="00FF6E5E">
        <w:rPr>
          <w:rFonts w:ascii="Arial Narrow" w:hAnsi="Arial Narrow"/>
          <w:szCs w:val="24"/>
        </w:rPr>
        <w:t>2001 –  Oct. 2002</w:t>
      </w:r>
      <w:r w:rsidRPr="00FF6E5E">
        <w:rPr>
          <w:rFonts w:ascii="Arial Narrow" w:hAnsi="Arial Narrow"/>
          <w:szCs w:val="24"/>
        </w:rPr>
        <w:tab/>
        <w:t>:</w:t>
      </w:r>
      <w:r w:rsidRPr="00FF6E5E">
        <w:rPr>
          <w:rFonts w:ascii="Arial Narrow" w:hAnsi="Arial Narrow"/>
          <w:szCs w:val="24"/>
        </w:rPr>
        <w:tab/>
        <w:t>Expositor de seminarios anuales de entrenamiento sobre normas profesionales y técnicas de auditoría, realizadas por Rodolfo Retamozo y Asociados integrante de Grant Thornton International.</w:t>
      </w:r>
    </w:p>
    <w:p w14:paraId="0E844F41" w14:textId="77777777" w:rsidR="003A7A33" w:rsidRPr="00FF6E5E" w:rsidRDefault="003A7A33" w:rsidP="003A7A33">
      <w:pPr>
        <w:pStyle w:val="Sangra2detindependiente"/>
        <w:tabs>
          <w:tab w:val="left" w:pos="2410"/>
        </w:tabs>
        <w:ind w:left="2835" w:hanging="2835"/>
        <w:jc w:val="both"/>
        <w:rPr>
          <w:rFonts w:ascii="Arial Narrow" w:hAnsi="Arial Narrow"/>
          <w:szCs w:val="24"/>
        </w:rPr>
      </w:pPr>
    </w:p>
    <w:p w14:paraId="04E11E79" w14:textId="77777777" w:rsidR="003A7A33" w:rsidRPr="00FF6E5E" w:rsidRDefault="003A7A33" w:rsidP="003A7A33">
      <w:pPr>
        <w:pStyle w:val="Sangra2detindependiente"/>
        <w:tabs>
          <w:tab w:val="left" w:pos="2410"/>
        </w:tabs>
        <w:ind w:left="2835" w:hanging="2835"/>
        <w:jc w:val="both"/>
        <w:rPr>
          <w:rFonts w:ascii="Arial Narrow" w:hAnsi="Arial Narrow"/>
          <w:szCs w:val="24"/>
        </w:rPr>
      </w:pPr>
      <w:r w:rsidRPr="00FF6E5E">
        <w:rPr>
          <w:rFonts w:ascii="Arial Narrow" w:hAnsi="Arial Narrow"/>
          <w:szCs w:val="24"/>
        </w:rPr>
        <w:t>1983 – May. 2001</w:t>
      </w:r>
      <w:r w:rsidRPr="00FF6E5E">
        <w:rPr>
          <w:rFonts w:ascii="Arial Narrow" w:hAnsi="Arial Narrow"/>
          <w:szCs w:val="24"/>
        </w:rPr>
        <w:tab/>
        <w:t>:</w:t>
      </w:r>
      <w:r w:rsidRPr="00FF6E5E">
        <w:rPr>
          <w:rFonts w:ascii="Arial Narrow" w:hAnsi="Arial Narrow"/>
          <w:szCs w:val="24"/>
        </w:rPr>
        <w:tab/>
        <w:t>Expositor de seminarios anuales de entrenamiento sobre normas profesionales y técnicas de auditoría, realizadas por Alonso y Asociados representantes de Ernst &amp; Young International.</w:t>
      </w:r>
    </w:p>
    <w:p w14:paraId="4B5AC1BA" w14:textId="77777777" w:rsidR="003A7A33" w:rsidRPr="00FF6E5E" w:rsidRDefault="003A7A33" w:rsidP="003A7A33">
      <w:pPr>
        <w:pStyle w:val="Sangra2detindependiente"/>
        <w:tabs>
          <w:tab w:val="left" w:pos="2410"/>
        </w:tabs>
        <w:ind w:left="2835" w:hanging="2835"/>
        <w:jc w:val="both"/>
        <w:rPr>
          <w:rFonts w:ascii="Arial Narrow" w:hAnsi="Arial Narrow"/>
          <w:szCs w:val="24"/>
        </w:rPr>
      </w:pPr>
    </w:p>
    <w:p w14:paraId="73C6D821" w14:textId="77777777" w:rsidR="003A7A33" w:rsidRPr="00FF6E5E" w:rsidRDefault="003A7A33" w:rsidP="003A7A33">
      <w:pPr>
        <w:pStyle w:val="Sangra2detindependiente"/>
        <w:tabs>
          <w:tab w:val="left" w:pos="2410"/>
        </w:tabs>
        <w:ind w:left="2835" w:hanging="2835"/>
        <w:jc w:val="both"/>
        <w:rPr>
          <w:rFonts w:ascii="Arial Narrow" w:hAnsi="Arial Narrow"/>
          <w:szCs w:val="24"/>
          <w:lang w:val="es-MX"/>
        </w:rPr>
      </w:pPr>
      <w:r w:rsidRPr="00FF6E5E">
        <w:rPr>
          <w:rFonts w:ascii="Arial Narrow" w:hAnsi="Arial Narrow"/>
          <w:szCs w:val="24"/>
        </w:rPr>
        <w:t>2002</w:t>
      </w:r>
      <w:r w:rsidRPr="00FF6E5E">
        <w:rPr>
          <w:rFonts w:ascii="Arial Narrow" w:hAnsi="Arial Narrow"/>
          <w:szCs w:val="24"/>
        </w:rPr>
        <w:tab/>
        <w:t>:</w:t>
      </w:r>
      <w:r w:rsidRPr="00FF6E5E">
        <w:rPr>
          <w:rFonts w:ascii="Arial Narrow" w:hAnsi="Arial Narrow"/>
          <w:szCs w:val="24"/>
        </w:rPr>
        <w:tab/>
        <w:t xml:space="preserve">Participó en seminario para socios y gerentes sobre uso de herramientas automáticas para la aplicación de </w:t>
      </w:r>
      <w:smartTag w:uri="urn:schemas-microsoft-com:office:smarttags" w:element="PersonName">
        <w:smartTagPr>
          <w:attr w:name="ProductID" w:val="la metodolog￭a Grant Thornton"/>
        </w:smartTagPr>
        <w:r w:rsidRPr="00FF6E5E">
          <w:rPr>
            <w:rFonts w:ascii="Arial Narrow" w:hAnsi="Arial Narrow"/>
            <w:szCs w:val="24"/>
          </w:rPr>
          <w:t>la metodología Grant Thornton</w:t>
        </w:r>
      </w:smartTag>
      <w:r w:rsidRPr="00FF6E5E">
        <w:rPr>
          <w:rFonts w:ascii="Arial Narrow" w:hAnsi="Arial Narrow"/>
          <w:szCs w:val="24"/>
        </w:rPr>
        <w:t xml:space="preserve"> </w:t>
      </w:r>
      <w:proofErr w:type="spellStart"/>
      <w:r w:rsidRPr="00FF6E5E">
        <w:rPr>
          <w:rFonts w:ascii="Arial Narrow" w:hAnsi="Arial Narrow"/>
          <w:szCs w:val="24"/>
        </w:rPr>
        <w:t>Horizon</w:t>
      </w:r>
      <w:proofErr w:type="spellEnd"/>
      <w:r w:rsidRPr="00FF6E5E">
        <w:rPr>
          <w:rFonts w:ascii="Arial Narrow" w:hAnsi="Arial Narrow"/>
          <w:szCs w:val="24"/>
        </w:rPr>
        <w:t>, Región Sur y Centro América (Costa Rica).</w:t>
      </w:r>
    </w:p>
    <w:p w14:paraId="2E5E68D8" w14:textId="77777777" w:rsidR="003A7A33" w:rsidRPr="00FF6E5E" w:rsidRDefault="003A7A33" w:rsidP="003A7A33">
      <w:pPr>
        <w:pStyle w:val="Textoindependiente"/>
        <w:rPr>
          <w:rFonts w:ascii="Arial Narrow" w:hAnsi="Arial Narrow"/>
          <w:szCs w:val="24"/>
        </w:rPr>
      </w:pPr>
    </w:p>
    <w:p w14:paraId="76E8EDDF" w14:textId="77777777" w:rsidR="003A7A33" w:rsidRPr="00FF6E5E" w:rsidRDefault="003A7A33" w:rsidP="003A7A33">
      <w:pPr>
        <w:pStyle w:val="Sangra2detindependiente"/>
        <w:tabs>
          <w:tab w:val="left" w:pos="2410"/>
        </w:tabs>
        <w:ind w:left="2835" w:hanging="2835"/>
        <w:jc w:val="both"/>
        <w:rPr>
          <w:rFonts w:ascii="Arial Narrow" w:hAnsi="Arial Narrow"/>
          <w:szCs w:val="24"/>
          <w:lang w:val="es-MX"/>
        </w:rPr>
      </w:pPr>
      <w:r w:rsidRPr="00FF6E5E">
        <w:rPr>
          <w:rFonts w:ascii="Arial Narrow" w:hAnsi="Arial Narrow"/>
          <w:szCs w:val="24"/>
          <w:lang w:val="es-MX"/>
        </w:rPr>
        <w:t>2001</w:t>
      </w:r>
      <w:r w:rsidRPr="00FF6E5E">
        <w:rPr>
          <w:rFonts w:ascii="Arial Narrow" w:hAnsi="Arial Narrow"/>
          <w:szCs w:val="24"/>
          <w:lang w:val="es-MX"/>
        </w:rPr>
        <w:tab/>
        <w:t>:</w:t>
      </w:r>
      <w:r w:rsidRPr="00FF6E5E">
        <w:rPr>
          <w:rFonts w:ascii="Arial Narrow" w:hAnsi="Arial Narrow"/>
          <w:szCs w:val="24"/>
          <w:lang w:val="es-MX"/>
        </w:rPr>
        <w:tab/>
        <w:t>Participó en seminario Regional sobre Técnicas de auditoría Metodología de Grant Thornton (Chile).</w:t>
      </w:r>
    </w:p>
    <w:p w14:paraId="60FA882F" w14:textId="77777777" w:rsidR="003A7A33" w:rsidRPr="00FF6E5E" w:rsidRDefault="003A7A33" w:rsidP="003A7A33">
      <w:pPr>
        <w:pStyle w:val="Sangra2detindependiente"/>
        <w:tabs>
          <w:tab w:val="left" w:pos="2410"/>
        </w:tabs>
        <w:ind w:left="2835" w:hanging="2835"/>
        <w:jc w:val="both"/>
        <w:rPr>
          <w:rFonts w:ascii="Arial Narrow" w:hAnsi="Arial Narrow"/>
          <w:szCs w:val="24"/>
          <w:lang w:val="es-MX"/>
        </w:rPr>
      </w:pPr>
    </w:p>
    <w:p w14:paraId="06475CCD" w14:textId="77777777" w:rsidR="003A7A33" w:rsidRPr="00FF6E5E" w:rsidRDefault="003A7A33" w:rsidP="003A7A33">
      <w:pPr>
        <w:pStyle w:val="Sangra2detindependiente"/>
        <w:tabs>
          <w:tab w:val="left" w:pos="2410"/>
        </w:tabs>
        <w:ind w:left="2835" w:hanging="2835"/>
        <w:jc w:val="both"/>
        <w:rPr>
          <w:rFonts w:ascii="Arial Narrow" w:hAnsi="Arial Narrow"/>
          <w:szCs w:val="24"/>
        </w:rPr>
      </w:pPr>
      <w:r w:rsidRPr="00FF6E5E">
        <w:rPr>
          <w:rFonts w:ascii="Arial Narrow" w:hAnsi="Arial Narrow"/>
          <w:szCs w:val="24"/>
          <w:lang w:val="es-MX"/>
        </w:rPr>
        <w:tab/>
      </w:r>
      <w:r w:rsidRPr="00FF6E5E">
        <w:rPr>
          <w:rFonts w:ascii="Arial Narrow" w:hAnsi="Arial Narrow"/>
          <w:szCs w:val="24"/>
          <w:lang w:val="es-MX"/>
        </w:rPr>
        <w:tab/>
        <w:t xml:space="preserve">Participó en </w:t>
      </w:r>
      <w:r w:rsidRPr="00FF6E5E">
        <w:rPr>
          <w:rFonts w:ascii="Arial Narrow" w:hAnsi="Arial Narrow"/>
          <w:szCs w:val="24"/>
        </w:rPr>
        <w:t>Conferencia de Grant Thornton Latinoamericana y de Caribe (en Orlando, EEUU).</w:t>
      </w:r>
    </w:p>
    <w:p w14:paraId="7ABFE342" w14:textId="77777777" w:rsidR="003A7A33" w:rsidRPr="00FF6E5E" w:rsidRDefault="003A7A33" w:rsidP="003A7A33">
      <w:pPr>
        <w:pStyle w:val="Sangradetextonormal"/>
        <w:tabs>
          <w:tab w:val="left" w:pos="2552"/>
        </w:tabs>
        <w:ind w:left="0"/>
        <w:jc w:val="both"/>
        <w:rPr>
          <w:rFonts w:ascii="Arial Narrow" w:hAnsi="Arial Narrow"/>
          <w:sz w:val="24"/>
          <w:szCs w:val="24"/>
          <w:lang w:val="es-MX"/>
        </w:rPr>
      </w:pPr>
    </w:p>
    <w:p w14:paraId="2E7E636C" w14:textId="77777777" w:rsidR="003A7A33" w:rsidRPr="00FF6E5E" w:rsidRDefault="003A7A33" w:rsidP="003A7A33">
      <w:pPr>
        <w:pStyle w:val="Textoindependiente"/>
        <w:tabs>
          <w:tab w:val="left" w:pos="2410"/>
          <w:tab w:val="left" w:pos="8505"/>
        </w:tabs>
        <w:ind w:right="-15"/>
        <w:jc w:val="both"/>
        <w:rPr>
          <w:rFonts w:ascii="Arial Narrow" w:hAnsi="Arial Narrow"/>
          <w:szCs w:val="24"/>
        </w:rPr>
      </w:pPr>
    </w:p>
    <w:p w14:paraId="41B8F73B" w14:textId="77777777" w:rsidR="003A7A33" w:rsidRPr="00FF6E5E" w:rsidRDefault="003A7A33" w:rsidP="003A7A33">
      <w:pPr>
        <w:pStyle w:val="Textoindependiente"/>
        <w:tabs>
          <w:tab w:val="left" w:pos="2410"/>
          <w:tab w:val="left" w:pos="8505"/>
        </w:tabs>
        <w:ind w:left="2835" w:right="-15" w:hanging="2835"/>
        <w:jc w:val="both"/>
        <w:rPr>
          <w:rFonts w:ascii="Arial Narrow" w:hAnsi="Arial Narrow"/>
          <w:szCs w:val="24"/>
        </w:rPr>
      </w:pPr>
      <w:r w:rsidRPr="00FF6E5E">
        <w:rPr>
          <w:rFonts w:ascii="Arial Narrow" w:hAnsi="Arial Narrow"/>
          <w:szCs w:val="24"/>
        </w:rPr>
        <w:t>1971 – 2000</w:t>
      </w:r>
      <w:r w:rsidRPr="00FF6E5E">
        <w:rPr>
          <w:rFonts w:ascii="Arial Narrow" w:hAnsi="Arial Narrow"/>
          <w:szCs w:val="24"/>
        </w:rPr>
        <w:tab/>
        <w:t>:</w:t>
      </w:r>
      <w:r w:rsidRPr="00FF6E5E">
        <w:rPr>
          <w:rFonts w:ascii="Arial Narrow" w:hAnsi="Arial Narrow"/>
          <w:szCs w:val="24"/>
        </w:rPr>
        <w:tab/>
        <w:t>Participó en seminarios anuales de entrenamiento sobre normas profesionales y técnicas de auditoría, realizadas por Alonso y Asociados integrante de Ernst &amp; Young International.</w:t>
      </w:r>
    </w:p>
    <w:p w14:paraId="6FF179D5" w14:textId="77777777" w:rsidR="003A7A33" w:rsidRPr="00FF6E5E" w:rsidRDefault="003A7A33" w:rsidP="003A7A33">
      <w:pPr>
        <w:pStyle w:val="Textoindependiente"/>
        <w:tabs>
          <w:tab w:val="left" w:pos="2410"/>
          <w:tab w:val="left" w:pos="8505"/>
        </w:tabs>
        <w:ind w:right="-15"/>
        <w:jc w:val="both"/>
        <w:rPr>
          <w:rFonts w:ascii="Arial Narrow" w:hAnsi="Arial Narrow"/>
          <w:szCs w:val="24"/>
        </w:rPr>
      </w:pPr>
    </w:p>
    <w:p w14:paraId="1DDBD3B2" w14:textId="77777777" w:rsidR="003A7A33" w:rsidRPr="00FF6E5E" w:rsidRDefault="003A7A33" w:rsidP="003A7A33">
      <w:pPr>
        <w:pStyle w:val="Textoindependiente"/>
        <w:tabs>
          <w:tab w:val="left" w:pos="2410"/>
          <w:tab w:val="left" w:pos="8505"/>
        </w:tabs>
        <w:ind w:left="2835" w:right="-15" w:hanging="2835"/>
        <w:jc w:val="both"/>
        <w:rPr>
          <w:rFonts w:ascii="Arial Narrow" w:hAnsi="Arial Narrow"/>
          <w:szCs w:val="24"/>
        </w:rPr>
      </w:pPr>
      <w:r w:rsidRPr="00FF6E5E">
        <w:rPr>
          <w:rFonts w:ascii="Arial Narrow" w:hAnsi="Arial Narrow"/>
          <w:szCs w:val="24"/>
        </w:rPr>
        <w:t>1993</w:t>
      </w:r>
      <w:r w:rsidRPr="00FF6E5E">
        <w:rPr>
          <w:rFonts w:ascii="Arial Narrow" w:hAnsi="Arial Narrow"/>
          <w:szCs w:val="24"/>
        </w:rPr>
        <w:tab/>
        <w:t>:</w:t>
      </w:r>
      <w:r w:rsidRPr="00FF6E5E">
        <w:rPr>
          <w:rFonts w:ascii="Arial Narrow" w:hAnsi="Arial Narrow"/>
          <w:szCs w:val="24"/>
        </w:rPr>
        <w:tab/>
        <w:t>Participó en seminario sobre Técnicas de Auditoría realizado por Ernst &amp; Young International (Miami, EE.UU).</w:t>
      </w:r>
    </w:p>
    <w:p w14:paraId="15551C1F" w14:textId="77777777" w:rsidR="003A7A33" w:rsidRPr="00FF6E5E" w:rsidRDefault="003A7A33" w:rsidP="003A7A33">
      <w:pPr>
        <w:pStyle w:val="Textoindependiente"/>
        <w:tabs>
          <w:tab w:val="left" w:pos="2410"/>
          <w:tab w:val="left" w:pos="8505"/>
        </w:tabs>
        <w:ind w:left="2835" w:right="-15" w:hanging="2835"/>
        <w:jc w:val="both"/>
        <w:rPr>
          <w:rFonts w:ascii="Arial Narrow" w:hAnsi="Arial Narrow"/>
          <w:szCs w:val="24"/>
        </w:rPr>
      </w:pPr>
    </w:p>
    <w:p w14:paraId="7D249D89" w14:textId="77777777" w:rsidR="003A7A33" w:rsidRPr="00FF6E5E" w:rsidRDefault="003A7A33" w:rsidP="003A7A33">
      <w:pPr>
        <w:pStyle w:val="Textoindependiente"/>
        <w:tabs>
          <w:tab w:val="left" w:pos="2410"/>
          <w:tab w:val="left" w:pos="8505"/>
        </w:tabs>
        <w:ind w:left="2835" w:right="-15" w:hanging="2835"/>
        <w:jc w:val="both"/>
        <w:rPr>
          <w:rFonts w:ascii="Arial Narrow" w:hAnsi="Arial Narrow"/>
          <w:szCs w:val="24"/>
        </w:rPr>
      </w:pPr>
      <w:r w:rsidRPr="00FF6E5E">
        <w:rPr>
          <w:rFonts w:ascii="Arial Narrow" w:hAnsi="Arial Narrow"/>
          <w:szCs w:val="24"/>
        </w:rPr>
        <w:t>1989</w:t>
      </w:r>
      <w:r w:rsidRPr="00FF6E5E">
        <w:rPr>
          <w:rFonts w:ascii="Arial Narrow" w:hAnsi="Arial Narrow"/>
          <w:szCs w:val="24"/>
        </w:rPr>
        <w:tab/>
        <w:t>:</w:t>
      </w:r>
      <w:r w:rsidRPr="00FF6E5E">
        <w:rPr>
          <w:rFonts w:ascii="Arial Narrow" w:hAnsi="Arial Narrow"/>
          <w:szCs w:val="24"/>
        </w:rPr>
        <w:tab/>
        <w:t xml:space="preserve">Participó en Programa Integral de Alta Especialización en Informática Contable, en </w:t>
      </w:r>
      <w:smartTag w:uri="urn:schemas-microsoft-com:office:smarttags" w:element="PersonName">
        <w:smartTagPr>
          <w:attr w:name="ProductID" w:val="la Escuela Superior"/>
        </w:smartTagPr>
        <w:r w:rsidRPr="00FF6E5E">
          <w:rPr>
            <w:rFonts w:ascii="Arial Narrow" w:hAnsi="Arial Narrow"/>
            <w:szCs w:val="24"/>
          </w:rPr>
          <w:t>la Escuela Superior</w:t>
        </w:r>
      </w:smartTag>
      <w:r w:rsidRPr="00FF6E5E">
        <w:rPr>
          <w:rFonts w:ascii="Arial Narrow" w:hAnsi="Arial Narrow"/>
          <w:szCs w:val="24"/>
        </w:rPr>
        <w:t xml:space="preserve"> de Informática y Cómputo del Colegio de Contadores Públicos de Lima.</w:t>
      </w:r>
    </w:p>
    <w:p w14:paraId="00BC8D88" w14:textId="77777777" w:rsidR="003A7A33" w:rsidRPr="00FF6E5E" w:rsidRDefault="003A7A33" w:rsidP="003A7A33">
      <w:pPr>
        <w:pStyle w:val="Textoindependiente"/>
        <w:tabs>
          <w:tab w:val="left" w:pos="2410"/>
          <w:tab w:val="left" w:pos="8505"/>
        </w:tabs>
        <w:ind w:left="2835" w:right="-15" w:hanging="2835"/>
        <w:jc w:val="both"/>
        <w:rPr>
          <w:rFonts w:ascii="Arial Narrow" w:hAnsi="Arial Narrow"/>
          <w:szCs w:val="24"/>
        </w:rPr>
      </w:pPr>
    </w:p>
    <w:p w14:paraId="65E0C795" w14:textId="38AA5399" w:rsidR="003A7A33" w:rsidRDefault="003A7A33" w:rsidP="006A78A8">
      <w:pPr>
        <w:ind w:left="2835" w:hanging="2835"/>
      </w:pPr>
      <w:r w:rsidRPr="00FF6E5E">
        <w:rPr>
          <w:rFonts w:ascii="Arial Narrow" w:hAnsi="Arial Narrow"/>
          <w:szCs w:val="24"/>
        </w:rPr>
        <w:t xml:space="preserve">1988 </w:t>
      </w:r>
      <w:r w:rsidR="006A78A8">
        <w:rPr>
          <w:rFonts w:ascii="Arial Narrow" w:hAnsi="Arial Narrow"/>
          <w:szCs w:val="24"/>
        </w:rPr>
        <w:t>–</w:t>
      </w:r>
      <w:r w:rsidRPr="00FF6E5E">
        <w:rPr>
          <w:rFonts w:ascii="Arial Narrow" w:hAnsi="Arial Narrow"/>
          <w:szCs w:val="24"/>
        </w:rPr>
        <w:t xml:space="preserve"> 1986</w:t>
      </w:r>
      <w:r w:rsidR="006A78A8">
        <w:rPr>
          <w:rFonts w:ascii="Arial Narrow" w:hAnsi="Arial Narrow"/>
          <w:szCs w:val="24"/>
        </w:rPr>
        <w:t xml:space="preserve">                                 :        </w:t>
      </w:r>
      <w:r w:rsidRPr="00FF6E5E">
        <w:rPr>
          <w:rFonts w:ascii="Arial Narrow" w:hAnsi="Arial Narrow"/>
          <w:szCs w:val="24"/>
        </w:rPr>
        <w:t>Participó en Diversos Seminarios Regionales como parte de Arthur Young International</w:t>
      </w:r>
    </w:p>
    <w:sectPr w:rsidR="003A7A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3C3F"/>
    <w:multiLevelType w:val="multilevel"/>
    <w:tmpl w:val="DBB43A0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33"/>
    <w:rsid w:val="003A7A33"/>
    <w:rsid w:val="006A78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3623EB"/>
  <w15:chartTrackingRefBased/>
  <w15:docId w15:val="{A57ADB37-915D-4261-AAC3-90DDE0CA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A33"/>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3A7A33"/>
    <w:pPr>
      <w:keepNext/>
      <w:jc w:val="center"/>
      <w:outlineLvl w:val="5"/>
    </w:pPr>
    <w:rPr>
      <w:rFonts w:ascii="Arial" w:hAnsi="Arial"/>
      <w:i/>
      <w:snapToGrid w:val="0"/>
      <w:color w:val="0000FF"/>
      <w:sz w:val="28"/>
      <w:lang w:val="es-ES_tradnl"/>
    </w:rPr>
  </w:style>
  <w:style w:type="paragraph" w:styleId="Ttulo7">
    <w:name w:val="heading 7"/>
    <w:basedOn w:val="Normal"/>
    <w:next w:val="Normal"/>
    <w:link w:val="Ttulo7Car"/>
    <w:qFormat/>
    <w:rsid w:val="003A7A33"/>
    <w:pPr>
      <w:keepNext/>
      <w:spacing w:line="480" w:lineRule="auto"/>
      <w:ind w:left="992" w:hanging="300"/>
      <w:jc w:val="center"/>
      <w:outlineLvl w:val="6"/>
    </w:pPr>
    <w:rPr>
      <w:rFonts w:ascii="Arial Narrow" w:hAnsi="Arial Narrow"/>
      <w:b/>
      <w:i/>
      <w:snapToGrid w:val="0"/>
      <w:color w:val="000080"/>
      <w:sz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3A7A33"/>
    <w:rPr>
      <w:rFonts w:ascii="Arial" w:eastAsia="Times New Roman" w:hAnsi="Arial" w:cs="Times New Roman"/>
      <w:i/>
      <w:snapToGrid w:val="0"/>
      <w:color w:val="0000FF"/>
      <w:sz w:val="28"/>
      <w:szCs w:val="20"/>
      <w:lang w:val="es-ES_tradnl" w:eastAsia="es-ES"/>
    </w:rPr>
  </w:style>
  <w:style w:type="character" w:customStyle="1" w:styleId="Ttulo7Car">
    <w:name w:val="Título 7 Car"/>
    <w:basedOn w:val="Fuentedeprrafopredeter"/>
    <w:link w:val="Ttulo7"/>
    <w:rsid w:val="003A7A33"/>
    <w:rPr>
      <w:rFonts w:ascii="Arial Narrow" w:eastAsia="Times New Roman" w:hAnsi="Arial Narrow" w:cs="Times New Roman"/>
      <w:b/>
      <w:i/>
      <w:snapToGrid w:val="0"/>
      <w:color w:val="000080"/>
      <w:sz w:val="30"/>
      <w:szCs w:val="20"/>
      <w:lang w:val="en-US" w:eastAsia="es-ES"/>
    </w:rPr>
  </w:style>
  <w:style w:type="paragraph" w:styleId="Sangra3detindependiente">
    <w:name w:val="Body Text Indent 3"/>
    <w:basedOn w:val="Normal"/>
    <w:link w:val="Sangra3detindependienteCar"/>
    <w:rsid w:val="003A7A33"/>
    <w:pPr>
      <w:ind w:left="709"/>
      <w:jc w:val="both"/>
    </w:pPr>
    <w:rPr>
      <w:rFonts w:ascii="Arial Narrow" w:hAnsi="Arial Narrow"/>
      <w:spacing w:val="-3"/>
      <w:sz w:val="22"/>
      <w:lang w:val="es-ES_tradnl"/>
    </w:rPr>
  </w:style>
  <w:style w:type="character" w:customStyle="1" w:styleId="Sangra3detindependienteCar">
    <w:name w:val="Sangría 3 de t. independiente Car"/>
    <w:basedOn w:val="Fuentedeprrafopredeter"/>
    <w:link w:val="Sangra3detindependiente"/>
    <w:rsid w:val="003A7A33"/>
    <w:rPr>
      <w:rFonts w:ascii="Arial Narrow" w:eastAsia="Times New Roman" w:hAnsi="Arial Narrow" w:cs="Times New Roman"/>
      <w:spacing w:val="-3"/>
      <w:szCs w:val="20"/>
      <w:lang w:val="es-ES_tradnl" w:eastAsia="es-ES"/>
    </w:rPr>
  </w:style>
  <w:style w:type="paragraph" w:styleId="Textoindependiente">
    <w:name w:val="Body Text"/>
    <w:basedOn w:val="Normal"/>
    <w:link w:val="TextoindependienteCar"/>
    <w:rsid w:val="003A7A33"/>
    <w:rPr>
      <w:i/>
      <w:snapToGrid w:val="0"/>
      <w:color w:val="000000"/>
      <w:sz w:val="24"/>
      <w:lang w:val="es-ES_tradnl"/>
    </w:rPr>
  </w:style>
  <w:style w:type="character" w:customStyle="1" w:styleId="TextoindependienteCar">
    <w:name w:val="Texto independiente Car"/>
    <w:basedOn w:val="Fuentedeprrafopredeter"/>
    <w:link w:val="Textoindependiente"/>
    <w:rsid w:val="003A7A33"/>
    <w:rPr>
      <w:rFonts w:ascii="Times New Roman" w:eastAsia="Times New Roman" w:hAnsi="Times New Roman" w:cs="Times New Roman"/>
      <w:i/>
      <w:snapToGrid w:val="0"/>
      <w:color w:val="000000"/>
      <w:sz w:val="24"/>
      <w:szCs w:val="20"/>
      <w:lang w:val="es-ES_tradnl" w:eastAsia="es-ES"/>
    </w:rPr>
  </w:style>
  <w:style w:type="paragraph" w:styleId="Sangra2detindependiente">
    <w:name w:val="Body Text Indent 2"/>
    <w:basedOn w:val="Normal"/>
    <w:link w:val="Sangra2detindependienteCar"/>
    <w:rsid w:val="003A7A33"/>
    <w:pPr>
      <w:ind w:left="1418" w:hanging="2"/>
    </w:pPr>
    <w:rPr>
      <w:rFonts w:ascii="Arial" w:hAnsi="Arial"/>
      <w:i/>
      <w:snapToGrid w:val="0"/>
      <w:color w:val="000000"/>
      <w:sz w:val="24"/>
      <w:lang w:val="es-ES_tradnl"/>
    </w:rPr>
  </w:style>
  <w:style w:type="character" w:customStyle="1" w:styleId="Sangra2detindependienteCar">
    <w:name w:val="Sangría 2 de t. independiente Car"/>
    <w:basedOn w:val="Fuentedeprrafopredeter"/>
    <w:link w:val="Sangra2detindependiente"/>
    <w:rsid w:val="003A7A33"/>
    <w:rPr>
      <w:rFonts w:ascii="Arial" w:eastAsia="Times New Roman" w:hAnsi="Arial" w:cs="Times New Roman"/>
      <w:i/>
      <w:snapToGrid w:val="0"/>
      <w:color w:val="000000"/>
      <w:sz w:val="24"/>
      <w:szCs w:val="20"/>
      <w:lang w:val="es-ES_tradnl" w:eastAsia="es-ES"/>
    </w:rPr>
  </w:style>
  <w:style w:type="paragraph" w:styleId="Encabezado">
    <w:name w:val="header"/>
    <w:basedOn w:val="Normal"/>
    <w:link w:val="EncabezadoCar"/>
    <w:rsid w:val="003A7A33"/>
    <w:pPr>
      <w:tabs>
        <w:tab w:val="center" w:pos="4419"/>
        <w:tab w:val="right" w:pos="8838"/>
      </w:tabs>
    </w:pPr>
  </w:style>
  <w:style w:type="character" w:customStyle="1" w:styleId="EncabezadoCar">
    <w:name w:val="Encabezado Car"/>
    <w:basedOn w:val="Fuentedeprrafopredeter"/>
    <w:link w:val="Encabezado"/>
    <w:rsid w:val="003A7A33"/>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3A7A33"/>
    <w:pPr>
      <w:tabs>
        <w:tab w:val="left" w:pos="2835"/>
      </w:tabs>
      <w:ind w:left="3402" w:hanging="3402"/>
    </w:pPr>
    <w:rPr>
      <w:i/>
    </w:rPr>
  </w:style>
  <w:style w:type="character" w:customStyle="1" w:styleId="SangradetextonormalCar">
    <w:name w:val="Sangría de texto normal Car"/>
    <w:basedOn w:val="Fuentedeprrafopredeter"/>
    <w:link w:val="Sangradetextonormal"/>
    <w:rsid w:val="003A7A33"/>
    <w:rPr>
      <w:rFonts w:ascii="Times New Roman" w:eastAsia="Times New Roman" w:hAnsi="Times New Roman" w:cs="Times New Roman"/>
      <w:i/>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3328</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dc:creator>
  <cp:keywords/>
  <dc:description/>
  <cp:lastModifiedBy>Gino</cp:lastModifiedBy>
  <cp:revision>2</cp:revision>
  <dcterms:created xsi:type="dcterms:W3CDTF">2021-04-19T22:04:00Z</dcterms:created>
  <dcterms:modified xsi:type="dcterms:W3CDTF">2021-04-21T00:18:00Z</dcterms:modified>
</cp:coreProperties>
</file>